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CDF6E" w14:textId="32205810" w:rsidR="00483E2D" w:rsidRPr="009536DB" w:rsidRDefault="000C4E50" w:rsidP="00483E2D">
      <w:pPr>
        <w:widowControl w:val="0"/>
        <w:autoSpaceDE w:val="0"/>
        <w:autoSpaceDN w:val="0"/>
        <w:adjustRightInd w:val="0"/>
        <w:spacing w:after="0" w:line="240" w:lineRule="auto"/>
        <w:jc w:val="both"/>
        <w:rPr>
          <w:rFonts w:ascii="Times New Roman" w:hAnsi="Times New Roman" w:cs="Times New Roman"/>
          <w:sz w:val="21"/>
          <w:szCs w:val="21"/>
        </w:rPr>
      </w:pPr>
      <w:r w:rsidRPr="000C4E50">
        <w:rPr>
          <w:rFonts w:ascii="Times New Roman" w:eastAsia="Yu Mincho" w:hAnsi="Times New Roman" w:cs="Times New Roman"/>
          <w:noProof/>
          <w:sz w:val="21"/>
          <w:szCs w:val="21"/>
          <w:lang w:val="en-US" w:eastAsia="ru-RU"/>
        </w:rPr>
        <w:drawing>
          <wp:anchor distT="0" distB="0" distL="114300" distR="114300" simplePos="0" relativeHeight="251659264" behindDoc="1" locked="0" layoutInCell="1" allowOverlap="1" wp14:anchorId="5351F17F" wp14:editId="71C85B28">
            <wp:simplePos x="0" y="0"/>
            <wp:positionH relativeFrom="margin">
              <wp:align>center</wp:align>
            </wp:positionH>
            <wp:positionV relativeFrom="paragraph">
              <wp:posOffset>-897739</wp:posOffset>
            </wp:positionV>
            <wp:extent cx="7888932" cy="10772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8932" cy="10772775"/>
                    </a:xfrm>
                    <a:prstGeom prst="rect">
                      <a:avLst/>
                    </a:prstGeom>
                    <a:noFill/>
                  </pic:spPr>
                </pic:pic>
              </a:graphicData>
            </a:graphic>
            <wp14:sizeRelH relativeFrom="page">
              <wp14:pctWidth>0</wp14:pctWidth>
            </wp14:sizeRelH>
            <wp14:sizeRelV relativeFrom="page">
              <wp14:pctHeight>0</wp14:pctHeight>
            </wp14:sizeRelV>
          </wp:anchor>
        </w:drawing>
      </w:r>
    </w:p>
    <w:p w14:paraId="55E43EF3" w14:textId="57396497"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304FCEC3" w14:textId="7F669142"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00BBEA8E" w14:textId="515C7CC5"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442209A6" w14:textId="270E8AC3" w:rsidR="00483E2D" w:rsidRPr="009536DB" w:rsidRDefault="00BB5131" w:rsidP="00483E2D">
      <w:pPr>
        <w:widowControl w:val="0"/>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noProof/>
          <w:sz w:val="21"/>
          <w:szCs w:val="21"/>
        </w:rPr>
        <w:drawing>
          <wp:inline distT="0" distB="0" distL="0" distR="0" wp14:anchorId="1DF25E58" wp14:editId="761A0B9D">
            <wp:extent cx="2414270" cy="7988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270" cy="798830"/>
                    </a:xfrm>
                    <a:prstGeom prst="rect">
                      <a:avLst/>
                    </a:prstGeom>
                    <a:noFill/>
                  </pic:spPr>
                </pic:pic>
              </a:graphicData>
            </a:graphic>
          </wp:inline>
        </w:drawing>
      </w:r>
    </w:p>
    <w:p w14:paraId="68D90AC2" w14:textId="1C4E0F75"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697E9788" w14:textId="3F327939"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38881B31" w14:textId="7581BD35"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5887F806" w14:textId="37237664"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7342D41F" w14:textId="77777777"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65D09036" w14:textId="3726AB4F"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0D3957A3" w14:textId="38C9373B"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6BE3D0E5" w14:textId="697D33E9"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1DD1C260" w14:textId="77777777"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131AA6FB" w14:textId="76EBEDC6"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0084B751" w14:textId="77777777"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7E794084" w14:textId="77777777"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0CACFA99" w14:textId="0A1F5C34" w:rsidR="00483E2D"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63167B26" w14:textId="6CDB3F82"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707F4A27" w14:textId="77777777"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5E4CA2D7" w14:textId="77777777"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3D1008DE" w14:textId="77777777"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2B3102AB" w14:textId="77777777" w:rsidR="00483E2D" w:rsidRPr="009536DB" w:rsidRDefault="00483E2D" w:rsidP="00483E2D">
      <w:pPr>
        <w:widowControl w:val="0"/>
        <w:autoSpaceDE w:val="0"/>
        <w:autoSpaceDN w:val="0"/>
        <w:adjustRightInd w:val="0"/>
        <w:spacing w:after="0" w:line="240" w:lineRule="auto"/>
        <w:jc w:val="both"/>
        <w:rPr>
          <w:rFonts w:ascii="Times New Roman" w:hAnsi="Times New Roman" w:cs="Times New Roman"/>
          <w:sz w:val="21"/>
          <w:szCs w:val="21"/>
        </w:rPr>
      </w:pPr>
    </w:p>
    <w:p w14:paraId="2EB0F294" w14:textId="6352BDA0" w:rsidR="00483E2D" w:rsidRPr="00DE73E7" w:rsidRDefault="001170E8" w:rsidP="00DE73E7">
      <w:pPr>
        <w:widowControl w:val="0"/>
        <w:autoSpaceDE w:val="0"/>
        <w:autoSpaceDN w:val="0"/>
        <w:adjustRightInd w:val="0"/>
        <w:spacing w:before="120" w:after="200" w:line="276" w:lineRule="auto"/>
        <w:ind w:left="2127"/>
        <w:rPr>
          <w:rFonts w:ascii="Arial" w:eastAsia="Calibri" w:hAnsi="Arial" w:cs="Arial"/>
          <w:b/>
          <w:color w:val="FFFFFF"/>
          <w:sz w:val="36"/>
          <w:szCs w:val="21"/>
          <w:lang w:eastAsia="en-GB"/>
        </w:rPr>
      </w:pPr>
      <w:r w:rsidRPr="00DE73E7">
        <w:rPr>
          <w:rFonts w:ascii="Arial" w:eastAsia="Calibri" w:hAnsi="Arial" w:cs="Arial"/>
          <w:b/>
          <w:color w:val="FFFFFF"/>
          <w:sz w:val="36"/>
          <w:szCs w:val="21"/>
          <w:lang w:eastAsia="en-GB"/>
        </w:rPr>
        <w:t>ON THE TERMS OF AND THE PROCEDURE FOR CURRENCY TRANSACTIONS RELATED TO THE PROVISION OF FINANCIAL AND PROFESSIONAL SERVICES IN THE TERRITORY OF THE ASTANA INTERNATIONAL FINANCIAL CENTRE</w:t>
      </w:r>
    </w:p>
    <w:p w14:paraId="5556D595" w14:textId="77777777" w:rsidR="00483E2D" w:rsidRPr="00DE73E7" w:rsidRDefault="00483E2D" w:rsidP="00DE73E7">
      <w:pPr>
        <w:widowControl w:val="0"/>
        <w:autoSpaceDE w:val="0"/>
        <w:autoSpaceDN w:val="0"/>
        <w:adjustRightInd w:val="0"/>
        <w:spacing w:before="120" w:after="200" w:line="276" w:lineRule="auto"/>
        <w:ind w:left="2127"/>
        <w:rPr>
          <w:rFonts w:ascii="Arial" w:eastAsia="Calibri" w:hAnsi="Arial" w:cs="Arial"/>
          <w:b/>
          <w:color w:val="FFFFFF"/>
          <w:sz w:val="36"/>
          <w:szCs w:val="21"/>
          <w:lang w:eastAsia="en-GB"/>
        </w:rPr>
      </w:pPr>
    </w:p>
    <w:p w14:paraId="7F4C8958" w14:textId="6A44A276" w:rsidR="00483E2D" w:rsidRPr="00DE73E7" w:rsidRDefault="00764C72" w:rsidP="00DE73E7">
      <w:pPr>
        <w:widowControl w:val="0"/>
        <w:autoSpaceDE w:val="0"/>
        <w:autoSpaceDN w:val="0"/>
        <w:adjustRightInd w:val="0"/>
        <w:spacing w:before="120" w:after="200" w:line="276" w:lineRule="auto"/>
        <w:ind w:left="2127"/>
        <w:rPr>
          <w:rFonts w:ascii="Arial" w:eastAsia="Calibri" w:hAnsi="Arial" w:cs="Arial"/>
          <w:b/>
          <w:color w:val="FFFFFF"/>
          <w:sz w:val="36"/>
          <w:szCs w:val="21"/>
          <w:lang w:eastAsia="en-GB"/>
        </w:rPr>
      </w:pPr>
      <w:r w:rsidRPr="00DE73E7">
        <w:rPr>
          <w:rFonts w:ascii="Arial" w:eastAsia="Calibri" w:hAnsi="Arial" w:cs="Arial"/>
          <w:b/>
          <w:color w:val="FFFFFF"/>
          <w:sz w:val="36"/>
          <w:szCs w:val="21"/>
          <w:lang w:eastAsia="en-GB"/>
        </w:rPr>
        <w:t>ORDER OF THE GOVERNOR</w:t>
      </w:r>
      <w:r w:rsidR="00483E2D" w:rsidRPr="00DE73E7">
        <w:rPr>
          <w:rFonts w:ascii="Arial" w:eastAsia="Calibri" w:hAnsi="Arial" w:cs="Arial"/>
          <w:b/>
          <w:color w:val="FFFFFF"/>
          <w:sz w:val="36"/>
          <w:szCs w:val="21"/>
          <w:lang w:eastAsia="en-GB"/>
        </w:rPr>
        <w:t xml:space="preserve"> NO.</w:t>
      </w:r>
      <w:r w:rsidRPr="00DE73E7">
        <w:rPr>
          <w:rFonts w:ascii="Arial" w:eastAsia="Calibri" w:hAnsi="Arial" w:cs="Arial"/>
          <w:b/>
          <w:color w:val="FFFFFF"/>
          <w:sz w:val="36"/>
          <w:szCs w:val="21"/>
          <w:lang w:eastAsia="en-GB"/>
        </w:rPr>
        <w:t xml:space="preserve"> 39 </w:t>
      </w:r>
      <w:r w:rsidR="00483E2D" w:rsidRPr="00DE73E7">
        <w:rPr>
          <w:rFonts w:ascii="Arial" w:eastAsia="Calibri" w:hAnsi="Arial" w:cs="Arial"/>
          <w:b/>
          <w:color w:val="FFFFFF"/>
          <w:sz w:val="36"/>
          <w:szCs w:val="21"/>
          <w:lang w:eastAsia="en-GB"/>
        </w:rPr>
        <w:t>OF 2017</w:t>
      </w:r>
    </w:p>
    <w:p w14:paraId="66198279" w14:textId="76C514C0" w:rsidR="00FD3EB1" w:rsidRPr="00DE73E7" w:rsidRDefault="00FD3EB1" w:rsidP="00DE73E7">
      <w:pPr>
        <w:widowControl w:val="0"/>
        <w:autoSpaceDE w:val="0"/>
        <w:autoSpaceDN w:val="0"/>
        <w:adjustRightInd w:val="0"/>
        <w:spacing w:before="120" w:after="200" w:line="276" w:lineRule="auto"/>
        <w:ind w:left="2127"/>
        <w:rPr>
          <w:rFonts w:ascii="Arial" w:eastAsia="Calibri" w:hAnsi="Arial" w:cs="Arial"/>
          <w:color w:val="FFFFFF"/>
          <w:sz w:val="36"/>
          <w:szCs w:val="21"/>
          <w:lang w:eastAsia="en-GB"/>
        </w:rPr>
      </w:pPr>
      <w:r w:rsidRPr="00DE73E7">
        <w:rPr>
          <w:rFonts w:ascii="Arial" w:eastAsia="Calibri" w:hAnsi="Arial" w:cs="Arial"/>
          <w:color w:val="FFFFFF"/>
          <w:sz w:val="36"/>
          <w:szCs w:val="21"/>
          <w:lang w:eastAsia="en-GB"/>
        </w:rPr>
        <w:t>(with amendments as of 16 September 2019, which commence on 16 September 2019)</w:t>
      </w:r>
    </w:p>
    <w:p w14:paraId="4315EB55" w14:textId="4FC5CA79" w:rsidR="00483E2D" w:rsidRPr="00DE73E7" w:rsidRDefault="00764C72" w:rsidP="00764C72">
      <w:pPr>
        <w:widowControl w:val="0"/>
        <w:autoSpaceDE w:val="0"/>
        <w:autoSpaceDN w:val="0"/>
        <w:adjustRightInd w:val="0"/>
        <w:spacing w:before="120" w:after="0" w:line="240" w:lineRule="auto"/>
        <w:jc w:val="both"/>
        <w:rPr>
          <w:rFonts w:ascii="Arial" w:hAnsi="Arial" w:cs="Arial"/>
          <w:b/>
          <w:bCs/>
          <w:color w:val="FFFFFF" w:themeColor="background1"/>
          <w:sz w:val="21"/>
          <w:szCs w:val="21"/>
        </w:rPr>
      </w:pPr>
      <w:r w:rsidRPr="00DE73E7">
        <w:rPr>
          <w:rFonts w:ascii="Arial" w:hAnsi="Arial" w:cs="Arial"/>
          <w:b/>
          <w:bCs/>
          <w:color w:val="FFFFFF" w:themeColor="background1"/>
          <w:sz w:val="21"/>
          <w:szCs w:val="21"/>
        </w:rPr>
        <w:t>Approval Date:</w:t>
      </w:r>
      <w:r w:rsidR="002B32B5" w:rsidRPr="00DE73E7">
        <w:rPr>
          <w:rFonts w:ascii="Arial" w:hAnsi="Arial" w:cs="Arial"/>
          <w:b/>
          <w:bCs/>
          <w:color w:val="FFFFFF" w:themeColor="background1"/>
          <w:sz w:val="21"/>
          <w:szCs w:val="21"/>
        </w:rPr>
        <w:t xml:space="preserve"> 15 December 2017</w:t>
      </w:r>
    </w:p>
    <w:p w14:paraId="423ACA72" w14:textId="56A4C3D7" w:rsidR="00764C72" w:rsidRPr="00DE73E7" w:rsidRDefault="00764C72" w:rsidP="00764C72">
      <w:pPr>
        <w:widowControl w:val="0"/>
        <w:autoSpaceDE w:val="0"/>
        <w:autoSpaceDN w:val="0"/>
        <w:adjustRightInd w:val="0"/>
        <w:spacing w:before="120" w:after="0" w:line="240" w:lineRule="auto"/>
        <w:jc w:val="both"/>
        <w:rPr>
          <w:rFonts w:ascii="Arial" w:hAnsi="Arial" w:cs="Arial"/>
          <w:b/>
          <w:bCs/>
          <w:color w:val="FFFFFF" w:themeColor="background1"/>
          <w:sz w:val="21"/>
          <w:szCs w:val="21"/>
        </w:rPr>
      </w:pPr>
      <w:r w:rsidRPr="00DE73E7">
        <w:rPr>
          <w:rFonts w:ascii="Arial" w:hAnsi="Arial" w:cs="Arial"/>
          <w:b/>
          <w:bCs/>
          <w:color w:val="FFFFFF" w:themeColor="background1"/>
          <w:sz w:val="21"/>
          <w:szCs w:val="21"/>
        </w:rPr>
        <w:t>Commencement Date:</w:t>
      </w:r>
      <w:r w:rsidR="002B32B5" w:rsidRPr="00DE73E7">
        <w:rPr>
          <w:rFonts w:ascii="Arial" w:hAnsi="Arial" w:cs="Arial"/>
          <w:b/>
          <w:bCs/>
          <w:color w:val="FFFFFF" w:themeColor="background1"/>
          <w:sz w:val="21"/>
          <w:szCs w:val="21"/>
        </w:rPr>
        <w:t xml:space="preserve"> 1 January 2018</w:t>
      </w:r>
    </w:p>
    <w:p w14:paraId="7D73B5E3" w14:textId="61A3FCCC" w:rsidR="00EE7947" w:rsidRPr="00304990" w:rsidRDefault="00040342" w:rsidP="000801A1">
      <w:pPr>
        <w:spacing w:before="240" w:after="0" w:line="240" w:lineRule="auto"/>
        <w:jc w:val="both"/>
        <w:rPr>
          <w:rFonts w:ascii="Arial" w:hAnsi="Arial" w:cs="Arial"/>
          <w:color w:val="002554"/>
          <w:sz w:val="21"/>
          <w:szCs w:val="21"/>
          <w:lang w:val="en-US"/>
        </w:rPr>
      </w:pPr>
      <w:bookmarkStart w:id="0" w:name="_GoBack"/>
      <w:r w:rsidRPr="00304990">
        <w:rPr>
          <w:rFonts w:ascii="Arial" w:hAnsi="Arial" w:cs="Arial"/>
          <w:color w:val="002554"/>
          <w:sz w:val="21"/>
          <w:szCs w:val="21"/>
        </w:rPr>
        <w:lastRenderedPageBreak/>
        <w:t>In accordance with paragraph 3 of article 5 of the Constitutional Statute of the Republic of Kazakhstan On the Astana International Financial Centre (the Constitutional Statute) and subparagraph 3-3) paragraph 9 of article 3 of The Structure of the Bodies of the Astana International Financial Centre, adopted by the Resolution of the Management Council on May 26, 2016 No. 20-27/1814, as amended by the Resolution of the Management Council, the Amendments and Supplementations to the Structure of the Bodies of the AIFC, adopted on October 9, 2017 No.17-61-6.2, the Governor of the Astana International Financial Centre (AIFC) ORDERS:</w:t>
      </w:r>
    </w:p>
    <w:p w14:paraId="5A899FA3" w14:textId="3D68B826" w:rsidR="008E6005" w:rsidRPr="00304990" w:rsidRDefault="008E6005" w:rsidP="000801A1">
      <w:pPr>
        <w:pStyle w:val="ListParagraph"/>
        <w:numPr>
          <w:ilvl w:val="0"/>
          <w:numId w:val="5"/>
        </w:numPr>
        <w:spacing w:before="240" w:after="0" w:line="240" w:lineRule="auto"/>
        <w:ind w:left="567" w:hanging="567"/>
        <w:contextualSpacing w:val="0"/>
        <w:jc w:val="both"/>
        <w:rPr>
          <w:rFonts w:ascii="Arial" w:hAnsi="Arial" w:cs="Arial"/>
          <w:color w:val="002554"/>
          <w:sz w:val="21"/>
          <w:szCs w:val="21"/>
          <w:lang w:val="en-US"/>
        </w:rPr>
      </w:pPr>
      <w:bookmarkStart w:id="1" w:name="_Hlk501093438"/>
      <w:r w:rsidRPr="00304990">
        <w:rPr>
          <w:rFonts w:ascii="Arial" w:hAnsi="Arial" w:cs="Arial"/>
          <w:color w:val="002554"/>
          <w:sz w:val="21"/>
          <w:szCs w:val="21"/>
        </w:rPr>
        <w:t xml:space="preserve">Currency transactions related to the provision of financial and professional services in the territory of the AIFC shall be carried out in compliance with the Rules on Currency Operations Carrying-out in the Republic of Kazakhstan, approved by the Resolution of the Board of the National Bank of the Republic of Kazakhstan No. 40 dated 30 March 2019 (the “Rules on Currency Operations”) subject </w:t>
      </w:r>
      <w:proofErr w:type="spellStart"/>
      <w:r w:rsidRPr="00304990">
        <w:rPr>
          <w:rFonts w:ascii="Arial" w:hAnsi="Arial" w:cs="Arial"/>
          <w:color w:val="002554"/>
          <w:sz w:val="21"/>
          <w:szCs w:val="21"/>
        </w:rPr>
        <w:t>tomodifications</w:t>
      </w:r>
      <w:proofErr w:type="spellEnd"/>
      <w:r w:rsidRPr="00304990">
        <w:rPr>
          <w:rFonts w:ascii="Arial" w:hAnsi="Arial" w:cs="Arial"/>
          <w:color w:val="002554"/>
          <w:sz w:val="21"/>
          <w:szCs w:val="21"/>
        </w:rPr>
        <w:t xml:space="preserve"> provided for in paragraph 1.1) - 1.2) hereof.</w:t>
      </w:r>
    </w:p>
    <w:p w14:paraId="6FE73911" w14:textId="19C8B571" w:rsidR="004036B0" w:rsidRPr="00304990" w:rsidRDefault="0033367D" w:rsidP="000801A1">
      <w:pPr>
        <w:pStyle w:val="ListParagraph"/>
        <w:numPr>
          <w:ilvl w:val="1"/>
          <w:numId w:val="6"/>
        </w:numPr>
        <w:spacing w:before="240" w:after="0" w:line="240" w:lineRule="auto"/>
        <w:contextualSpacing w:val="0"/>
        <w:jc w:val="both"/>
        <w:rPr>
          <w:rFonts w:ascii="Arial" w:hAnsi="Arial" w:cs="Arial"/>
          <w:color w:val="002554"/>
          <w:sz w:val="21"/>
          <w:szCs w:val="21"/>
          <w:lang w:val="en-US"/>
        </w:rPr>
      </w:pPr>
      <w:r w:rsidRPr="00304990">
        <w:rPr>
          <w:rFonts w:ascii="Arial" w:hAnsi="Arial" w:cs="Arial"/>
          <w:color w:val="002554"/>
          <w:sz w:val="21"/>
          <w:szCs w:val="21"/>
          <w:lang w:val="en-US"/>
        </w:rPr>
        <w:t xml:space="preserve">    </w:t>
      </w:r>
      <w:r w:rsidR="004036B0" w:rsidRPr="00304990">
        <w:rPr>
          <w:rFonts w:ascii="Arial" w:hAnsi="Arial" w:cs="Arial"/>
          <w:color w:val="002554"/>
          <w:sz w:val="21"/>
          <w:szCs w:val="21"/>
          <w:lang w:val="en-US"/>
        </w:rPr>
        <w:t>The following modifications apply to the Rules on Currency Operations:</w:t>
      </w:r>
    </w:p>
    <w:p w14:paraId="561044A8" w14:textId="37EA887B" w:rsidR="004036B0" w:rsidRPr="00304990" w:rsidRDefault="004036B0" w:rsidP="000801A1">
      <w:pPr>
        <w:pStyle w:val="ListParagraph"/>
        <w:numPr>
          <w:ilvl w:val="0"/>
          <w:numId w:val="7"/>
        </w:numPr>
        <w:spacing w:before="240" w:after="0" w:line="240" w:lineRule="auto"/>
        <w:ind w:left="993"/>
        <w:contextualSpacing w:val="0"/>
        <w:jc w:val="both"/>
        <w:rPr>
          <w:rFonts w:ascii="Arial" w:hAnsi="Arial" w:cs="Arial"/>
          <w:color w:val="002554"/>
          <w:sz w:val="21"/>
          <w:szCs w:val="21"/>
          <w:lang w:val="en-US"/>
        </w:rPr>
      </w:pPr>
      <w:r w:rsidRPr="00304990">
        <w:rPr>
          <w:rFonts w:ascii="Arial" w:hAnsi="Arial" w:cs="Arial"/>
          <w:color w:val="002554"/>
          <w:sz w:val="21"/>
          <w:szCs w:val="21"/>
          <w:lang w:val="en-US"/>
        </w:rPr>
        <w:t>the references to "</w:t>
      </w:r>
      <w:proofErr w:type="spellStart"/>
      <w:r w:rsidRPr="00304990">
        <w:rPr>
          <w:rFonts w:ascii="Arial" w:hAnsi="Arial" w:cs="Arial"/>
          <w:color w:val="002554"/>
          <w:sz w:val="21"/>
          <w:szCs w:val="21"/>
          <w:lang w:val="en-US"/>
        </w:rPr>
        <w:t>authorised</w:t>
      </w:r>
      <w:proofErr w:type="spellEnd"/>
      <w:r w:rsidRPr="00304990">
        <w:rPr>
          <w:rFonts w:ascii="Arial" w:hAnsi="Arial" w:cs="Arial"/>
          <w:color w:val="002554"/>
          <w:sz w:val="21"/>
          <w:szCs w:val="21"/>
          <w:lang w:val="en-US"/>
        </w:rPr>
        <w:t xml:space="preserve"> bank" shall be read as references to "AIFC participant </w:t>
      </w:r>
      <w:r w:rsidR="004B0166" w:rsidRPr="00304990">
        <w:rPr>
          <w:rFonts w:ascii="Arial" w:hAnsi="Arial" w:cs="Arial"/>
          <w:color w:val="002554"/>
          <w:sz w:val="21"/>
          <w:szCs w:val="21"/>
          <w:lang w:val="en-US"/>
        </w:rPr>
        <w:t xml:space="preserve">authorized </w:t>
      </w:r>
      <w:r w:rsidRPr="00304990">
        <w:rPr>
          <w:rFonts w:ascii="Arial" w:hAnsi="Arial" w:cs="Arial"/>
          <w:color w:val="002554"/>
          <w:sz w:val="21"/>
          <w:szCs w:val="21"/>
          <w:lang w:val="en-US"/>
        </w:rPr>
        <w:t>by the AFSA to carry out the Regulated Activity on “Providing Money Services” in the AIFC;</w:t>
      </w:r>
    </w:p>
    <w:p w14:paraId="6CC693EE" w14:textId="04BDCA8C" w:rsidR="004036B0" w:rsidRPr="00304990" w:rsidRDefault="004036B0" w:rsidP="000801A1">
      <w:pPr>
        <w:pStyle w:val="ListParagraph"/>
        <w:numPr>
          <w:ilvl w:val="0"/>
          <w:numId w:val="7"/>
        </w:numPr>
        <w:spacing w:before="240" w:after="0" w:line="240" w:lineRule="auto"/>
        <w:ind w:left="993"/>
        <w:contextualSpacing w:val="0"/>
        <w:jc w:val="both"/>
        <w:rPr>
          <w:rFonts w:ascii="Arial" w:hAnsi="Arial" w:cs="Arial"/>
          <w:color w:val="002554"/>
          <w:sz w:val="21"/>
          <w:szCs w:val="21"/>
          <w:lang w:val="en-US"/>
        </w:rPr>
      </w:pPr>
      <w:r w:rsidRPr="00304990">
        <w:rPr>
          <w:rFonts w:ascii="Arial" w:hAnsi="Arial" w:cs="Arial"/>
          <w:color w:val="002554"/>
          <w:sz w:val="21"/>
          <w:szCs w:val="21"/>
          <w:lang w:val="en-US"/>
        </w:rPr>
        <w:t>the reference to “the National Bank” or “the National Bank of the Republic of Kazakhsta</w:t>
      </w:r>
      <w:r w:rsidR="004B0166" w:rsidRPr="00304990">
        <w:rPr>
          <w:rFonts w:ascii="Arial" w:hAnsi="Arial" w:cs="Arial"/>
          <w:color w:val="002554"/>
          <w:sz w:val="21"/>
          <w:szCs w:val="21"/>
          <w:lang w:val="en-US"/>
        </w:rPr>
        <w:t xml:space="preserve">n” </w:t>
      </w:r>
      <w:r w:rsidRPr="00304990">
        <w:rPr>
          <w:rFonts w:ascii="Arial" w:hAnsi="Arial" w:cs="Arial"/>
          <w:color w:val="002554"/>
          <w:sz w:val="21"/>
          <w:szCs w:val="21"/>
          <w:lang w:val="en-US"/>
        </w:rPr>
        <w:t>in rule 8, rule 28, and Annex 1 to the Rules on Currency Operations shall be read as references</w:t>
      </w:r>
      <w:r w:rsidR="004B0166" w:rsidRPr="00304990">
        <w:rPr>
          <w:rFonts w:ascii="Arial" w:hAnsi="Arial" w:cs="Arial"/>
          <w:color w:val="002554"/>
          <w:sz w:val="21"/>
          <w:szCs w:val="21"/>
          <w:lang w:val="en-US"/>
        </w:rPr>
        <w:t xml:space="preserve"> </w:t>
      </w:r>
      <w:r w:rsidRPr="00304990">
        <w:rPr>
          <w:rFonts w:ascii="Arial" w:hAnsi="Arial" w:cs="Arial"/>
          <w:color w:val="002554"/>
          <w:sz w:val="21"/>
          <w:szCs w:val="21"/>
          <w:lang w:val="en-US"/>
        </w:rPr>
        <w:t>to “the Astana Financial Services Authority”;</w:t>
      </w:r>
    </w:p>
    <w:p w14:paraId="7D2FBAB4" w14:textId="0D846A30" w:rsidR="004036B0" w:rsidRPr="00304990" w:rsidRDefault="004036B0" w:rsidP="000801A1">
      <w:pPr>
        <w:pStyle w:val="ListParagraph"/>
        <w:numPr>
          <w:ilvl w:val="0"/>
          <w:numId w:val="7"/>
        </w:numPr>
        <w:spacing w:before="240" w:after="0" w:line="240" w:lineRule="auto"/>
        <w:ind w:left="993"/>
        <w:contextualSpacing w:val="0"/>
        <w:jc w:val="both"/>
        <w:rPr>
          <w:rFonts w:ascii="Arial" w:hAnsi="Arial" w:cs="Arial"/>
          <w:color w:val="002554"/>
          <w:sz w:val="21"/>
          <w:szCs w:val="21"/>
          <w:lang w:val="en-US"/>
        </w:rPr>
      </w:pPr>
      <w:r w:rsidRPr="00304990">
        <w:rPr>
          <w:rFonts w:ascii="Arial" w:hAnsi="Arial" w:cs="Arial"/>
          <w:color w:val="002554"/>
          <w:sz w:val="21"/>
          <w:szCs w:val="21"/>
          <w:lang w:val="en-US"/>
        </w:rPr>
        <w:t>rule 19 of the Rules on Currency Operations does not apply to the legal entities incorporated</w:t>
      </w:r>
      <w:r w:rsidR="004B0166" w:rsidRPr="00304990">
        <w:rPr>
          <w:rFonts w:ascii="Arial" w:hAnsi="Arial" w:cs="Arial"/>
          <w:color w:val="002554"/>
          <w:sz w:val="21"/>
          <w:szCs w:val="21"/>
          <w:lang w:val="en-US"/>
        </w:rPr>
        <w:t xml:space="preserve"> </w:t>
      </w:r>
      <w:r w:rsidRPr="00304990">
        <w:rPr>
          <w:rFonts w:ascii="Arial" w:hAnsi="Arial" w:cs="Arial"/>
          <w:color w:val="002554"/>
          <w:sz w:val="21"/>
          <w:szCs w:val="21"/>
          <w:lang w:val="en-US"/>
        </w:rPr>
        <w:t xml:space="preserve">outside the Republic of Kazakhstan and </w:t>
      </w:r>
      <w:proofErr w:type="spellStart"/>
      <w:r w:rsidRPr="00304990">
        <w:rPr>
          <w:rFonts w:ascii="Arial" w:hAnsi="Arial" w:cs="Arial"/>
          <w:color w:val="002554"/>
          <w:sz w:val="21"/>
          <w:szCs w:val="21"/>
          <w:lang w:val="en-US"/>
        </w:rPr>
        <w:t>recognised</w:t>
      </w:r>
      <w:proofErr w:type="spellEnd"/>
      <w:r w:rsidRPr="00304990">
        <w:rPr>
          <w:rFonts w:ascii="Arial" w:hAnsi="Arial" w:cs="Arial"/>
          <w:color w:val="002554"/>
          <w:sz w:val="21"/>
          <w:szCs w:val="21"/>
          <w:lang w:val="en-US"/>
        </w:rPr>
        <w:t xml:space="preserve"> by the AIFC and the AIFC Participant</w:t>
      </w:r>
      <w:r w:rsidR="004B0166" w:rsidRPr="00304990">
        <w:rPr>
          <w:rFonts w:ascii="Arial" w:hAnsi="Arial" w:cs="Arial"/>
          <w:color w:val="002554"/>
          <w:sz w:val="21"/>
          <w:szCs w:val="21"/>
          <w:lang w:val="en-US"/>
        </w:rPr>
        <w:t xml:space="preserve">s </w:t>
      </w:r>
      <w:r w:rsidRPr="00304990">
        <w:rPr>
          <w:rFonts w:ascii="Arial" w:hAnsi="Arial" w:cs="Arial"/>
          <w:color w:val="002554"/>
          <w:sz w:val="21"/>
          <w:szCs w:val="21"/>
          <w:lang w:val="en-US"/>
        </w:rPr>
        <w:t>that carry out financial services or professional services in the AIFC;</w:t>
      </w:r>
    </w:p>
    <w:p w14:paraId="756D6AC2" w14:textId="5B4B703A" w:rsidR="004036B0" w:rsidRPr="00304990" w:rsidRDefault="004036B0" w:rsidP="000801A1">
      <w:pPr>
        <w:pStyle w:val="ListParagraph"/>
        <w:numPr>
          <w:ilvl w:val="0"/>
          <w:numId w:val="7"/>
        </w:numPr>
        <w:spacing w:before="240" w:after="0" w:line="240" w:lineRule="auto"/>
        <w:ind w:left="993"/>
        <w:contextualSpacing w:val="0"/>
        <w:jc w:val="both"/>
        <w:rPr>
          <w:rFonts w:ascii="Arial" w:hAnsi="Arial" w:cs="Arial"/>
          <w:color w:val="002554"/>
          <w:sz w:val="21"/>
          <w:szCs w:val="21"/>
          <w:lang w:val="en-US"/>
        </w:rPr>
      </w:pPr>
      <w:r w:rsidRPr="00304990">
        <w:rPr>
          <w:rFonts w:ascii="Arial" w:hAnsi="Arial" w:cs="Arial"/>
          <w:color w:val="002554"/>
          <w:sz w:val="21"/>
          <w:szCs w:val="21"/>
          <w:lang w:val="en-US"/>
        </w:rPr>
        <w:t>the information referred in Annex 2 to the Rules on Currency Operations shall be submitted</w:t>
      </w:r>
      <w:r w:rsidR="004B0166" w:rsidRPr="00304990">
        <w:rPr>
          <w:rFonts w:ascii="Arial" w:hAnsi="Arial" w:cs="Arial"/>
          <w:color w:val="002554"/>
          <w:sz w:val="21"/>
          <w:szCs w:val="21"/>
          <w:lang w:val="en-US"/>
        </w:rPr>
        <w:t xml:space="preserve"> </w:t>
      </w:r>
      <w:r w:rsidRPr="00304990">
        <w:rPr>
          <w:rFonts w:ascii="Arial" w:hAnsi="Arial" w:cs="Arial"/>
          <w:color w:val="002554"/>
          <w:sz w:val="21"/>
          <w:szCs w:val="21"/>
          <w:lang w:val="en-US"/>
        </w:rPr>
        <w:t>to the Astana Financial Services Authority.</w:t>
      </w:r>
    </w:p>
    <w:p w14:paraId="3443338A" w14:textId="66073AA3" w:rsidR="007D4A0D" w:rsidRPr="00304990" w:rsidRDefault="007D4A0D" w:rsidP="000801A1">
      <w:pPr>
        <w:spacing w:before="240" w:after="0" w:line="240" w:lineRule="auto"/>
        <w:jc w:val="both"/>
        <w:rPr>
          <w:rFonts w:ascii="Arial" w:hAnsi="Arial" w:cs="Arial"/>
          <w:color w:val="002554"/>
          <w:sz w:val="21"/>
          <w:szCs w:val="21"/>
        </w:rPr>
      </w:pPr>
      <w:r w:rsidRPr="00304990">
        <w:rPr>
          <w:rFonts w:ascii="Arial" w:hAnsi="Arial" w:cs="Arial"/>
          <w:color w:val="002554"/>
          <w:sz w:val="21"/>
          <w:szCs w:val="21"/>
        </w:rPr>
        <w:t xml:space="preserve">1.2) </w:t>
      </w:r>
      <w:r w:rsidR="000801A1" w:rsidRPr="00304990">
        <w:rPr>
          <w:rFonts w:ascii="Arial" w:hAnsi="Arial" w:cs="Arial"/>
          <w:color w:val="002554"/>
          <w:sz w:val="21"/>
          <w:szCs w:val="21"/>
        </w:rPr>
        <w:t xml:space="preserve">    </w:t>
      </w:r>
      <w:r w:rsidRPr="00304990">
        <w:rPr>
          <w:rFonts w:ascii="Arial" w:hAnsi="Arial" w:cs="Arial"/>
          <w:color w:val="002554"/>
          <w:sz w:val="21"/>
          <w:szCs w:val="21"/>
        </w:rPr>
        <w:t xml:space="preserve">The Astana Financial Services Authority shall: </w:t>
      </w:r>
    </w:p>
    <w:p w14:paraId="2280DBE2" w14:textId="010BAACA" w:rsidR="007D4A0D" w:rsidRPr="00304990" w:rsidRDefault="007D4A0D" w:rsidP="000801A1">
      <w:pPr>
        <w:pStyle w:val="ListParagraph"/>
        <w:numPr>
          <w:ilvl w:val="0"/>
          <w:numId w:val="8"/>
        </w:numPr>
        <w:spacing w:before="240" w:after="0" w:line="240" w:lineRule="auto"/>
        <w:ind w:left="993"/>
        <w:contextualSpacing w:val="0"/>
        <w:jc w:val="both"/>
        <w:rPr>
          <w:rFonts w:ascii="Arial" w:hAnsi="Arial" w:cs="Arial"/>
          <w:color w:val="002554"/>
          <w:sz w:val="21"/>
          <w:szCs w:val="21"/>
        </w:rPr>
      </w:pPr>
      <w:r w:rsidRPr="00304990">
        <w:rPr>
          <w:rFonts w:ascii="Arial" w:hAnsi="Arial" w:cs="Arial"/>
          <w:color w:val="002554"/>
          <w:sz w:val="21"/>
          <w:szCs w:val="21"/>
        </w:rPr>
        <w:t xml:space="preserve"> inform the National Bank of the Republic of Kazakhstan about the facts referred in rule 8 of the Rules on Currency Operations in a timely manner; </w:t>
      </w:r>
    </w:p>
    <w:p w14:paraId="29E36B53" w14:textId="6D096FD3" w:rsidR="00233063" w:rsidRPr="00304990" w:rsidRDefault="007D4A0D" w:rsidP="000801A1">
      <w:pPr>
        <w:pStyle w:val="ListParagraph"/>
        <w:numPr>
          <w:ilvl w:val="0"/>
          <w:numId w:val="8"/>
        </w:numPr>
        <w:spacing w:before="240" w:after="0" w:line="240" w:lineRule="auto"/>
        <w:ind w:left="993"/>
        <w:contextualSpacing w:val="0"/>
        <w:jc w:val="both"/>
        <w:rPr>
          <w:rFonts w:ascii="Arial" w:hAnsi="Arial" w:cs="Arial"/>
          <w:color w:val="002554"/>
          <w:sz w:val="21"/>
          <w:szCs w:val="21"/>
          <w:lang w:val="en-US"/>
        </w:rPr>
      </w:pPr>
      <w:r w:rsidRPr="00304990">
        <w:rPr>
          <w:rFonts w:ascii="Arial" w:hAnsi="Arial" w:cs="Arial"/>
          <w:color w:val="002554"/>
          <w:sz w:val="21"/>
          <w:szCs w:val="21"/>
        </w:rPr>
        <w:t>submit the information, referred in subparag</w:t>
      </w:r>
      <w:r w:rsidR="00786144" w:rsidRPr="00304990">
        <w:rPr>
          <w:rFonts w:ascii="Arial" w:hAnsi="Arial" w:cs="Arial"/>
          <w:color w:val="002554"/>
          <w:sz w:val="21"/>
          <w:szCs w:val="21"/>
        </w:rPr>
        <w:t>raph (d) of paragraph 1-1hereof, to the National Bank of the Republic of Kazakhstan.”</w:t>
      </w:r>
    </w:p>
    <w:p w14:paraId="6C448EC3" w14:textId="29246FEB" w:rsidR="006B4428" w:rsidRPr="00304990" w:rsidRDefault="002D4DA4" w:rsidP="000801A1">
      <w:pPr>
        <w:pStyle w:val="ListParagraph"/>
        <w:numPr>
          <w:ilvl w:val="0"/>
          <w:numId w:val="6"/>
        </w:numPr>
        <w:spacing w:before="240" w:after="0" w:line="240" w:lineRule="auto"/>
        <w:ind w:left="567" w:hanging="567"/>
        <w:contextualSpacing w:val="0"/>
        <w:jc w:val="both"/>
        <w:rPr>
          <w:rFonts w:ascii="Arial" w:hAnsi="Arial" w:cs="Arial"/>
          <w:color w:val="002554"/>
          <w:sz w:val="21"/>
          <w:szCs w:val="21"/>
          <w:lang w:val="en-US"/>
        </w:rPr>
      </w:pPr>
      <w:r w:rsidRPr="00304990">
        <w:rPr>
          <w:rFonts w:ascii="Arial" w:hAnsi="Arial" w:cs="Arial"/>
          <w:color w:val="002554"/>
          <w:sz w:val="21"/>
          <w:szCs w:val="21"/>
          <w:lang w:val="en-US"/>
        </w:rPr>
        <w:t xml:space="preserve">The Astana Financial Services Authority shall develop the AIFC Act that establishes the terms of and the procedure for </w:t>
      </w:r>
      <w:r w:rsidR="0062036D" w:rsidRPr="00304990">
        <w:rPr>
          <w:rFonts w:ascii="Arial" w:hAnsi="Arial" w:cs="Arial"/>
          <w:color w:val="002554"/>
          <w:sz w:val="21"/>
          <w:szCs w:val="21"/>
          <w:lang w:val="en-US"/>
        </w:rPr>
        <w:t>foreig</w:t>
      </w:r>
      <w:r w:rsidR="00D04A2E" w:rsidRPr="00304990">
        <w:rPr>
          <w:rFonts w:ascii="Arial" w:hAnsi="Arial" w:cs="Arial"/>
          <w:color w:val="002554"/>
          <w:sz w:val="21"/>
          <w:szCs w:val="21"/>
          <w:lang w:val="en-US"/>
        </w:rPr>
        <w:t>n exchange t</w:t>
      </w:r>
      <w:r w:rsidRPr="00304990">
        <w:rPr>
          <w:rFonts w:ascii="Arial" w:hAnsi="Arial" w:cs="Arial"/>
          <w:color w:val="002554"/>
          <w:sz w:val="21"/>
          <w:szCs w:val="21"/>
          <w:lang w:val="en-US"/>
        </w:rPr>
        <w:t>ransactions related to the provision of financial and professional services in the territory of the AIFC and following approval by the National Bank of the Republic of Kazakhstan shall submit it to the AIFC Governor for its adoption</w:t>
      </w:r>
      <w:r w:rsidR="00D04A2E" w:rsidRPr="00304990">
        <w:rPr>
          <w:rFonts w:ascii="Arial" w:hAnsi="Arial" w:cs="Arial"/>
          <w:color w:val="002554"/>
          <w:sz w:val="21"/>
          <w:szCs w:val="21"/>
          <w:lang w:val="en-US"/>
        </w:rPr>
        <w:t>.</w:t>
      </w:r>
      <w:r w:rsidRPr="00304990">
        <w:rPr>
          <w:rFonts w:ascii="Arial" w:hAnsi="Arial" w:cs="Arial"/>
          <w:color w:val="002554"/>
          <w:sz w:val="21"/>
          <w:szCs w:val="21"/>
          <w:lang w:val="en-US"/>
        </w:rPr>
        <w:t xml:space="preserve">  </w:t>
      </w:r>
    </w:p>
    <w:p w14:paraId="4ED24753" w14:textId="472122B3" w:rsidR="002D4DA4" w:rsidRPr="00304990" w:rsidRDefault="002D4DA4" w:rsidP="000801A1">
      <w:pPr>
        <w:pStyle w:val="ListParagraph"/>
        <w:numPr>
          <w:ilvl w:val="0"/>
          <w:numId w:val="6"/>
        </w:numPr>
        <w:spacing w:before="240" w:after="0" w:line="240" w:lineRule="auto"/>
        <w:ind w:left="567" w:hanging="567"/>
        <w:contextualSpacing w:val="0"/>
        <w:jc w:val="both"/>
        <w:rPr>
          <w:rFonts w:ascii="Arial" w:hAnsi="Arial" w:cs="Arial"/>
          <w:color w:val="002554"/>
          <w:sz w:val="21"/>
          <w:szCs w:val="21"/>
          <w:lang w:val="en-US"/>
        </w:rPr>
      </w:pPr>
      <w:r w:rsidRPr="00304990">
        <w:rPr>
          <w:rFonts w:ascii="Arial" w:hAnsi="Arial" w:cs="Arial"/>
          <w:color w:val="002554"/>
          <w:sz w:val="21"/>
          <w:szCs w:val="21"/>
          <w:lang w:val="en-US"/>
        </w:rPr>
        <w:t>This order comes into effect from the date of its signing and shall remain in force until the AIFC Act is adopted, provided for in Paragraph 2 hereof</w:t>
      </w:r>
      <w:bookmarkEnd w:id="1"/>
      <w:r w:rsidR="000801A1" w:rsidRPr="00304990">
        <w:rPr>
          <w:rFonts w:ascii="Arial" w:hAnsi="Arial" w:cs="Arial"/>
          <w:color w:val="002554"/>
          <w:sz w:val="21"/>
          <w:szCs w:val="21"/>
          <w:lang w:val="en-US"/>
        </w:rPr>
        <w:t>.</w:t>
      </w:r>
    </w:p>
    <w:bookmarkEnd w:id="0"/>
    <w:p w14:paraId="7407264C" w14:textId="77777777" w:rsidR="00F96446" w:rsidRPr="000801A1" w:rsidRDefault="00304990" w:rsidP="000801A1">
      <w:pPr>
        <w:spacing w:before="240" w:after="0" w:line="240" w:lineRule="auto"/>
        <w:rPr>
          <w:rFonts w:ascii="Times New Roman" w:hAnsi="Times New Roman" w:cs="Times New Roman"/>
          <w:sz w:val="21"/>
          <w:szCs w:val="21"/>
        </w:rPr>
      </w:pPr>
    </w:p>
    <w:sectPr w:rsidR="00F96446" w:rsidRPr="000801A1" w:rsidSect="006A0889">
      <w:headerReference w:type="default" r:id="rId12"/>
      <w:footerReference w:type="default" r:id="rId13"/>
      <w:pgSz w:w="11906" w:h="16838" w:code="9"/>
      <w:pgMar w:top="1418" w:right="851"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F842" w14:textId="77777777" w:rsidR="00EA4542" w:rsidRDefault="00EA4542" w:rsidP="00483E2D">
      <w:pPr>
        <w:spacing w:after="0" w:line="240" w:lineRule="auto"/>
      </w:pPr>
      <w:r>
        <w:separator/>
      </w:r>
    </w:p>
  </w:endnote>
  <w:endnote w:type="continuationSeparator" w:id="0">
    <w:p w14:paraId="77F66037" w14:textId="77777777" w:rsidR="00EA4542" w:rsidRDefault="00EA4542" w:rsidP="0048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00667"/>
      <w:docPartObj>
        <w:docPartGallery w:val="Page Numbers (Bottom of Page)"/>
        <w:docPartUnique/>
      </w:docPartObj>
    </w:sdtPr>
    <w:sdtEndPr>
      <w:rPr>
        <w:rFonts w:ascii="Arial" w:hAnsi="Arial" w:cs="Arial"/>
        <w:noProof/>
        <w:color w:val="002554"/>
        <w:sz w:val="21"/>
        <w:szCs w:val="21"/>
      </w:rPr>
    </w:sdtEndPr>
    <w:sdtContent>
      <w:p w14:paraId="38B713E6" w14:textId="14C23910" w:rsidR="006A0889" w:rsidRPr="00304990" w:rsidRDefault="006A0889" w:rsidP="006A0889">
        <w:pPr>
          <w:pStyle w:val="Footer"/>
          <w:jc w:val="center"/>
          <w:rPr>
            <w:rFonts w:ascii="Arial" w:hAnsi="Arial" w:cs="Arial"/>
            <w:color w:val="002554"/>
            <w:sz w:val="21"/>
            <w:szCs w:val="21"/>
          </w:rPr>
        </w:pPr>
        <w:r w:rsidRPr="00304990">
          <w:rPr>
            <w:rFonts w:ascii="Arial" w:hAnsi="Arial" w:cs="Arial"/>
            <w:color w:val="002554"/>
            <w:sz w:val="21"/>
            <w:szCs w:val="21"/>
          </w:rPr>
          <w:fldChar w:fldCharType="begin"/>
        </w:r>
        <w:r w:rsidRPr="00304990">
          <w:rPr>
            <w:rFonts w:ascii="Arial" w:hAnsi="Arial" w:cs="Arial"/>
            <w:color w:val="002554"/>
            <w:sz w:val="21"/>
            <w:szCs w:val="21"/>
          </w:rPr>
          <w:instrText xml:space="preserve"> PAGE   \* MERGEFORMAT </w:instrText>
        </w:r>
        <w:r w:rsidRPr="00304990">
          <w:rPr>
            <w:rFonts w:ascii="Arial" w:hAnsi="Arial" w:cs="Arial"/>
            <w:color w:val="002554"/>
            <w:sz w:val="21"/>
            <w:szCs w:val="21"/>
          </w:rPr>
          <w:fldChar w:fldCharType="separate"/>
        </w:r>
        <w:r w:rsidRPr="00304990">
          <w:rPr>
            <w:rFonts w:ascii="Arial" w:hAnsi="Arial" w:cs="Arial"/>
            <w:noProof/>
            <w:color w:val="002554"/>
            <w:sz w:val="21"/>
            <w:szCs w:val="21"/>
          </w:rPr>
          <w:t>2</w:t>
        </w:r>
        <w:r w:rsidRPr="00304990">
          <w:rPr>
            <w:rFonts w:ascii="Arial" w:hAnsi="Arial" w:cs="Arial"/>
            <w:noProof/>
            <w:color w:val="002554"/>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E99B" w14:textId="77777777" w:rsidR="00EA4542" w:rsidRDefault="00EA4542" w:rsidP="00483E2D">
      <w:pPr>
        <w:spacing w:after="0" w:line="240" w:lineRule="auto"/>
      </w:pPr>
      <w:r>
        <w:separator/>
      </w:r>
    </w:p>
  </w:footnote>
  <w:footnote w:type="continuationSeparator" w:id="0">
    <w:p w14:paraId="4DFE01FD" w14:textId="77777777" w:rsidR="00EA4542" w:rsidRDefault="00EA4542" w:rsidP="0048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BDFD" w14:textId="77777777" w:rsidR="005B71D8" w:rsidRPr="00A26AAA" w:rsidRDefault="005B71D8" w:rsidP="005B71D8">
    <w:pPr>
      <w:pStyle w:val="Header"/>
      <w:jc w:val="right"/>
      <w:rPr>
        <w:rFonts w:ascii="Arial" w:hAnsi="Arial" w:cs="Arial"/>
        <w:b/>
        <w:color w:val="002554"/>
        <w:sz w:val="21"/>
        <w:szCs w:val="21"/>
      </w:rPr>
    </w:pPr>
    <w:r w:rsidRPr="00A26AAA">
      <w:rPr>
        <w:noProof/>
        <w:color w:val="002554"/>
      </w:rPr>
      <w:drawing>
        <wp:anchor distT="0" distB="0" distL="114300" distR="114300" simplePos="0" relativeHeight="251659264" behindDoc="1" locked="0" layoutInCell="1" allowOverlap="1" wp14:anchorId="3F116BBF" wp14:editId="1A5F5575">
          <wp:simplePos x="0" y="0"/>
          <wp:positionH relativeFrom="column">
            <wp:posOffset>1270</wp:posOffset>
          </wp:positionH>
          <wp:positionV relativeFrom="paragraph">
            <wp:posOffset>5715</wp:posOffset>
          </wp:positionV>
          <wp:extent cx="536575" cy="536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anchor>
      </w:drawing>
    </w:r>
    <w:r w:rsidRPr="00A26AAA">
      <w:rPr>
        <w:rFonts w:ascii="Arial" w:hAnsi="Arial" w:cs="Arial"/>
        <w:b/>
        <w:color w:val="002554"/>
        <w:sz w:val="21"/>
        <w:szCs w:val="21"/>
      </w:rPr>
      <w:t xml:space="preserve">ON THE TERMS OF AND THE PROCEDURE FOR CURRENCY TRANSACTIONS </w:t>
    </w:r>
  </w:p>
  <w:p w14:paraId="0144943E" w14:textId="77777777" w:rsidR="005B71D8" w:rsidRPr="00A26AAA" w:rsidRDefault="005B71D8" w:rsidP="005B71D8">
    <w:pPr>
      <w:pStyle w:val="Header"/>
      <w:jc w:val="right"/>
      <w:rPr>
        <w:rFonts w:ascii="Arial" w:hAnsi="Arial" w:cs="Arial"/>
        <w:b/>
        <w:color w:val="002554"/>
        <w:sz w:val="21"/>
        <w:szCs w:val="21"/>
      </w:rPr>
    </w:pPr>
    <w:r w:rsidRPr="00A26AAA">
      <w:rPr>
        <w:rFonts w:ascii="Arial" w:hAnsi="Arial" w:cs="Arial"/>
        <w:b/>
        <w:color w:val="002554"/>
        <w:sz w:val="21"/>
        <w:szCs w:val="21"/>
      </w:rPr>
      <w:t xml:space="preserve">RELATED TO THE PROVISION OF FINANCIAL AND PROFESSIONAL SERVICES </w:t>
    </w:r>
  </w:p>
  <w:p w14:paraId="3EF7AF6B" w14:textId="77777777" w:rsidR="005B71D8" w:rsidRPr="00A26AAA" w:rsidRDefault="005B71D8" w:rsidP="005B71D8">
    <w:pPr>
      <w:pStyle w:val="Header"/>
      <w:jc w:val="right"/>
      <w:rPr>
        <w:color w:val="002554"/>
      </w:rPr>
    </w:pPr>
    <w:r w:rsidRPr="00A26AAA">
      <w:rPr>
        <w:rFonts w:ascii="Arial" w:hAnsi="Arial" w:cs="Arial"/>
        <w:b/>
        <w:color w:val="002554"/>
        <w:sz w:val="21"/>
        <w:szCs w:val="21"/>
      </w:rPr>
      <w:t>IN THE TERRITORY OF THE ASTANA INTERNATIONAL FINANCIAL CENTRE</w:t>
    </w:r>
  </w:p>
  <w:p w14:paraId="32E128B6" w14:textId="77777777" w:rsidR="006A0889" w:rsidRPr="005B71D8" w:rsidRDefault="006A0889" w:rsidP="006A0889">
    <w:pPr>
      <w:spacing w:line="276" w:lineRule="auto"/>
      <w:jc w:val="right"/>
      <w:rPr>
        <w:rFonts w:ascii="Times New Roman" w:eastAsia="Times New Roman" w:hAnsi="Times New Roman" w:cs="Times New Roman"/>
        <w:b/>
        <w:sz w:val="21"/>
        <w:szCs w:val="21"/>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3F9"/>
    <w:multiLevelType w:val="hybridMultilevel"/>
    <w:tmpl w:val="B4768F12"/>
    <w:lvl w:ilvl="0" w:tplc="E252F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D15FE"/>
    <w:multiLevelType w:val="hybridMultilevel"/>
    <w:tmpl w:val="BF70C024"/>
    <w:lvl w:ilvl="0" w:tplc="777670C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BEA75A0"/>
    <w:multiLevelType w:val="hybridMultilevel"/>
    <w:tmpl w:val="ED208C44"/>
    <w:lvl w:ilvl="0" w:tplc="04190011">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7C737E"/>
    <w:multiLevelType w:val="hybridMultilevel"/>
    <w:tmpl w:val="789A1B58"/>
    <w:lvl w:ilvl="0" w:tplc="AE384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25DA1"/>
    <w:multiLevelType w:val="hybridMultilevel"/>
    <w:tmpl w:val="67FE18D8"/>
    <w:lvl w:ilvl="0" w:tplc="944A4E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0B5C09"/>
    <w:multiLevelType w:val="multilevel"/>
    <w:tmpl w:val="1C5C5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7353C3A"/>
    <w:multiLevelType w:val="hybridMultilevel"/>
    <w:tmpl w:val="9D7E5F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83C0EE9"/>
    <w:multiLevelType w:val="hybridMultilevel"/>
    <w:tmpl w:val="0E4A7C66"/>
    <w:lvl w:ilvl="0" w:tplc="FCE8F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0210D"/>
    <w:multiLevelType w:val="hybridMultilevel"/>
    <w:tmpl w:val="9D7E5F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68"/>
    <w:rsid w:val="00024112"/>
    <w:rsid w:val="00040342"/>
    <w:rsid w:val="000801A1"/>
    <w:rsid w:val="000C4E50"/>
    <w:rsid w:val="000F17D5"/>
    <w:rsid w:val="001170E8"/>
    <w:rsid w:val="00152F2C"/>
    <w:rsid w:val="00155768"/>
    <w:rsid w:val="001A7097"/>
    <w:rsid w:val="00233063"/>
    <w:rsid w:val="002B32B5"/>
    <w:rsid w:val="002D4DA4"/>
    <w:rsid w:val="00304990"/>
    <w:rsid w:val="00326FE4"/>
    <w:rsid w:val="0033367D"/>
    <w:rsid w:val="00375F9E"/>
    <w:rsid w:val="004036B0"/>
    <w:rsid w:val="00483E2D"/>
    <w:rsid w:val="004B0166"/>
    <w:rsid w:val="004B1860"/>
    <w:rsid w:val="004E66B5"/>
    <w:rsid w:val="005A5371"/>
    <w:rsid w:val="005B71D8"/>
    <w:rsid w:val="0062036D"/>
    <w:rsid w:val="006247C1"/>
    <w:rsid w:val="00642BC1"/>
    <w:rsid w:val="006816F7"/>
    <w:rsid w:val="00697270"/>
    <w:rsid w:val="006A0889"/>
    <w:rsid w:val="006B4428"/>
    <w:rsid w:val="006D0A52"/>
    <w:rsid w:val="00764C72"/>
    <w:rsid w:val="00786144"/>
    <w:rsid w:val="007B0116"/>
    <w:rsid w:val="007D4A0D"/>
    <w:rsid w:val="00832443"/>
    <w:rsid w:val="008B27E2"/>
    <w:rsid w:val="008D52E6"/>
    <w:rsid w:val="008E6005"/>
    <w:rsid w:val="00922CA8"/>
    <w:rsid w:val="00A80377"/>
    <w:rsid w:val="00AA710E"/>
    <w:rsid w:val="00AE73CE"/>
    <w:rsid w:val="00B23B97"/>
    <w:rsid w:val="00B36BC0"/>
    <w:rsid w:val="00B87968"/>
    <w:rsid w:val="00B97E61"/>
    <w:rsid w:val="00BA1ECC"/>
    <w:rsid w:val="00BB5131"/>
    <w:rsid w:val="00CD139C"/>
    <w:rsid w:val="00D04A2E"/>
    <w:rsid w:val="00DE73E7"/>
    <w:rsid w:val="00EA4542"/>
    <w:rsid w:val="00EB3A41"/>
    <w:rsid w:val="00EC1B9B"/>
    <w:rsid w:val="00ED3BF6"/>
    <w:rsid w:val="00EE7947"/>
    <w:rsid w:val="00F641BC"/>
    <w:rsid w:val="00FD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AE5E1"/>
  <w15:chartTrackingRefBased/>
  <w15:docId w15:val="{EF8BE60F-9878-44CC-95DA-328CEA48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7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17D5"/>
    <w:pPr>
      <w:ind w:left="720"/>
      <w:contextualSpacing/>
    </w:pPr>
  </w:style>
  <w:style w:type="paragraph" w:styleId="Header">
    <w:name w:val="header"/>
    <w:basedOn w:val="Normal"/>
    <w:link w:val="HeaderChar"/>
    <w:uiPriority w:val="99"/>
    <w:unhideWhenUsed/>
    <w:rsid w:val="00483E2D"/>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3E2D"/>
  </w:style>
  <w:style w:type="paragraph" w:styleId="Footer">
    <w:name w:val="footer"/>
    <w:basedOn w:val="Normal"/>
    <w:link w:val="FooterChar"/>
    <w:uiPriority w:val="99"/>
    <w:unhideWhenUsed/>
    <w:rsid w:val="00483E2D"/>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3E2D"/>
  </w:style>
  <w:style w:type="paragraph" w:styleId="BalloonText">
    <w:name w:val="Balloon Text"/>
    <w:basedOn w:val="Normal"/>
    <w:link w:val="BalloonTextChar"/>
    <w:uiPriority w:val="99"/>
    <w:semiHidden/>
    <w:unhideWhenUsed/>
    <w:rsid w:val="00EE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19433">
      <w:bodyDiv w:val="1"/>
      <w:marLeft w:val="0"/>
      <w:marRight w:val="0"/>
      <w:marTop w:val="0"/>
      <w:marBottom w:val="0"/>
      <w:divBdr>
        <w:top w:val="none" w:sz="0" w:space="0" w:color="auto"/>
        <w:left w:val="none" w:sz="0" w:space="0" w:color="auto"/>
        <w:bottom w:val="none" w:sz="0" w:space="0" w:color="auto"/>
        <w:right w:val="none" w:sz="0" w:space="0" w:color="auto"/>
      </w:divBdr>
      <w:divsChild>
        <w:div w:id="14837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2" ma:contentTypeDescription="Создание документа." ma:contentTypeScope="" ma:versionID="de78614dc31c36c55aaf472a6a2501c7">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149cbd9f352a91cf2bd40cff782d91c1"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585535-94B4-4E73-96C2-6320B7DCB29A}">
  <ds:schemaRefs>
    <ds:schemaRef ds:uri="http://schemas.microsoft.com/sharepoint/v3/contenttype/forms"/>
  </ds:schemaRefs>
</ds:datastoreItem>
</file>

<file path=customXml/itemProps2.xml><?xml version="1.0" encoding="utf-8"?>
<ds:datastoreItem xmlns:ds="http://schemas.openxmlformats.org/officeDocument/2006/customXml" ds:itemID="{EA805F95-517D-40B2-A21F-0FBADFF71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F48D9-A4AC-485B-B00E-FB3DE4DA77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Pages>
  <Words>482</Words>
  <Characters>2748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BGC Partners</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LaptopUser</dc:creator>
  <cp:keywords/>
  <dc:description/>
  <cp:lastModifiedBy>Inkar Imanbayeva</cp:lastModifiedBy>
  <cp:revision>45</cp:revision>
  <cp:lastPrinted>2017-12-29T04:31:00Z</cp:lastPrinted>
  <dcterms:created xsi:type="dcterms:W3CDTF">2017-11-21T16:14:00Z</dcterms:created>
  <dcterms:modified xsi:type="dcterms:W3CDTF">2020-01-20T04:39:00Z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